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1" w:rsidRDefault="001778D1" w:rsidP="001778D1">
      <w:pPr>
        <w:shd w:val="clear" w:color="auto" w:fill="FFFFFF"/>
        <w:spacing w:before="150" w:line="600" w:lineRule="atLeast"/>
        <w:jc w:val="center"/>
        <w:outlineLvl w:val="1"/>
        <w:rPr>
          <w:rFonts w:ascii="微软雅黑" w:eastAsia="微软雅黑" w:hAnsi="微软雅黑" w:cs="宋体"/>
          <w:color w:val="333333"/>
          <w:kern w:val="36"/>
          <w:sz w:val="42"/>
          <w:szCs w:val="42"/>
        </w:rPr>
      </w:pPr>
      <w:r w:rsidRPr="008A4124">
        <w:rPr>
          <w:rFonts w:ascii="微软雅黑" w:eastAsia="微软雅黑" w:hAnsi="微软雅黑" w:cs="宋体" w:hint="eastAsia"/>
          <w:color w:val="333333"/>
          <w:kern w:val="36"/>
          <w:sz w:val="42"/>
          <w:szCs w:val="42"/>
        </w:rPr>
        <w:t>广西</w:t>
      </w:r>
      <w:r>
        <w:rPr>
          <w:rFonts w:ascii="微软雅黑" w:eastAsia="微软雅黑" w:hAnsi="微软雅黑" w:cs="宋体" w:hint="eastAsia"/>
          <w:color w:val="333333"/>
          <w:kern w:val="36"/>
          <w:sz w:val="42"/>
          <w:szCs w:val="42"/>
        </w:rPr>
        <w:t>中医药</w:t>
      </w:r>
      <w:r w:rsidRPr="008A4124">
        <w:rPr>
          <w:rFonts w:ascii="微软雅黑" w:eastAsia="微软雅黑" w:hAnsi="微软雅黑" w:cs="宋体" w:hint="eastAsia"/>
          <w:color w:val="333333"/>
          <w:kern w:val="36"/>
          <w:sz w:val="42"/>
          <w:szCs w:val="42"/>
        </w:rPr>
        <w:t>大学</w:t>
      </w:r>
      <w:r>
        <w:rPr>
          <w:rFonts w:ascii="微软雅黑" w:eastAsia="微软雅黑" w:hAnsi="微软雅黑" w:cs="宋体" w:hint="eastAsia"/>
          <w:color w:val="333333"/>
          <w:kern w:val="36"/>
          <w:sz w:val="42"/>
          <w:szCs w:val="42"/>
        </w:rPr>
        <w:t>赛恩斯新医药学院</w:t>
      </w:r>
    </w:p>
    <w:p w:rsidR="001778D1" w:rsidRPr="008A4124" w:rsidRDefault="001778D1" w:rsidP="001778D1">
      <w:pPr>
        <w:shd w:val="clear" w:color="auto" w:fill="FFFFFF"/>
        <w:spacing w:before="150" w:line="600" w:lineRule="atLeast"/>
        <w:jc w:val="center"/>
        <w:outlineLvl w:val="1"/>
        <w:rPr>
          <w:rFonts w:ascii="微软雅黑" w:eastAsia="微软雅黑" w:hAnsi="微软雅黑" w:cs="宋体"/>
          <w:color w:val="333333"/>
          <w:kern w:val="36"/>
          <w:sz w:val="42"/>
          <w:szCs w:val="42"/>
        </w:rPr>
      </w:pPr>
      <w:r w:rsidRPr="001778D1">
        <w:rPr>
          <w:rFonts w:ascii="微软雅黑" w:eastAsia="微软雅黑" w:hAnsi="微软雅黑" w:cs="宋体" w:hint="eastAsia"/>
          <w:color w:val="333333"/>
          <w:kern w:val="36"/>
          <w:sz w:val="42"/>
          <w:szCs w:val="42"/>
        </w:rPr>
        <w:t>空调维修保养服务</w:t>
      </w:r>
      <w:r w:rsidRPr="008A4124">
        <w:rPr>
          <w:rFonts w:ascii="微软雅黑" w:eastAsia="微软雅黑" w:hAnsi="微软雅黑" w:cs="宋体" w:hint="eastAsia"/>
          <w:color w:val="333333"/>
          <w:kern w:val="36"/>
          <w:sz w:val="42"/>
          <w:szCs w:val="42"/>
        </w:rPr>
        <w:t>定点供应商采购公告</w:t>
      </w:r>
    </w:p>
    <w:p w:rsidR="001778D1" w:rsidRPr="008A4124" w:rsidRDefault="001778D1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1778D1">
        <w:rPr>
          <w:rFonts w:ascii="微软雅黑" w:eastAsia="微软雅黑" w:hAnsi="微软雅黑" w:cs="宋体" w:hint="eastAsia"/>
          <w:color w:val="333333"/>
          <w:kern w:val="0"/>
          <w:sz w:val="24"/>
        </w:rPr>
        <w:t>广西中医药大学赛恩斯新医</w:t>
      </w:r>
      <w:proofErr w:type="gramStart"/>
      <w:r w:rsidRPr="001778D1">
        <w:rPr>
          <w:rFonts w:ascii="微软雅黑" w:eastAsia="微软雅黑" w:hAnsi="微软雅黑" w:cs="宋体" w:hint="eastAsia"/>
          <w:color w:val="333333"/>
          <w:kern w:val="0"/>
          <w:sz w:val="24"/>
        </w:rPr>
        <w:t>药学院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拟对</w:t>
      </w:r>
      <w:proofErr w:type="gramEnd"/>
      <w:r w:rsidRPr="001778D1">
        <w:rPr>
          <w:rFonts w:ascii="微软雅黑" w:eastAsia="微软雅黑" w:hAnsi="微软雅黑" w:cs="宋体" w:hint="eastAsia"/>
          <w:color w:val="333333"/>
          <w:kern w:val="0"/>
          <w:sz w:val="24"/>
        </w:rPr>
        <w:t>空调维修保养服务定点供应商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进行采购，欢迎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符合条件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的供应商参与报价。现将有关事项公告如下：</w:t>
      </w:r>
    </w:p>
    <w:p w:rsidR="001778D1" w:rsidRPr="008A4124" w:rsidRDefault="00A13C26" w:rsidP="001778D1">
      <w:pPr>
        <w:widowControl/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一</w:t>
      </w:r>
      <w:r w:rsidR="001778D1" w:rsidRPr="008A412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、项目名称</w:t>
      </w:r>
    </w:p>
    <w:p w:rsidR="00A13C26" w:rsidRDefault="00A13C26" w:rsidP="00A13C26">
      <w:pPr>
        <w:widowControl/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A13C26">
        <w:rPr>
          <w:rFonts w:ascii="微软雅黑" w:eastAsia="微软雅黑" w:hAnsi="微软雅黑" w:cs="宋体" w:hint="eastAsia"/>
          <w:color w:val="333333"/>
          <w:kern w:val="0"/>
          <w:sz w:val="24"/>
        </w:rPr>
        <w:t>空调维修保养服务定点供应商采购</w:t>
      </w:r>
    </w:p>
    <w:p w:rsidR="001778D1" w:rsidRPr="008A4124" w:rsidRDefault="00A13C26" w:rsidP="00A13C26">
      <w:pPr>
        <w:widowControl/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二</w:t>
      </w:r>
      <w:r w:rsidR="001778D1" w:rsidRPr="008A412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、采购方式</w:t>
      </w:r>
    </w:p>
    <w:p w:rsidR="001778D1" w:rsidRPr="008A4124" w:rsidRDefault="001778D1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询价</w:t>
      </w:r>
      <w:r w:rsidR="009577CC">
        <w:rPr>
          <w:rFonts w:ascii="微软雅黑" w:eastAsia="微软雅黑" w:hAnsi="微软雅黑" w:cs="宋体" w:hint="eastAsia"/>
          <w:color w:val="333333"/>
          <w:kern w:val="0"/>
          <w:sz w:val="24"/>
        </w:rPr>
        <w:t>采购</w:t>
      </w:r>
    </w:p>
    <w:p w:rsidR="001778D1" w:rsidRPr="008A4124" w:rsidRDefault="00A13C26" w:rsidP="001778D1">
      <w:pPr>
        <w:widowControl/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三</w:t>
      </w:r>
      <w:r w:rsidR="001778D1" w:rsidRPr="008A412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、采购内容</w:t>
      </w:r>
    </w:p>
    <w:p w:rsidR="00A13C26" w:rsidRDefault="006842C5" w:rsidP="001778D1">
      <w:pPr>
        <w:widowControl/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2019-2021年度</w:t>
      </w:r>
      <w:r w:rsidR="00A13C26" w:rsidRPr="00A13C26">
        <w:rPr>
          <w:rFonts w:ascii="微软雅黑" w:eastAsia="微软雅黑" w:hAnsi="微软雅黑" w:cs="宋体" w:hint="eastAsia"/>
          <w:color w:val="333333"/>
          <w:kern w:val="0"/>
          <w:sz w:val="24"/>
        </w:rPr>
        <w:t>空调维修保养服务定点供应商（常规需求见附件）</w:t>
      </w:r>
    </w:p>
    <w:p w:rsidR="001778D1" w:rsidRPr="008A4124" w:rsidRDefault="006842C5" w:rsidP="001778D1">
      <w:pPr>
        <w:widowControl/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四</w:t>
      </w:r>
      <w:r w:rsidR="001778D1" w:rsidRPr="008A412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、报价人资格</w:t>
      </w:r>
    </w:p>
    <w:p w:rsidR="001778D1" w:rsidRDefault="00A13C26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1.</w:t>
      </w:r>
      <w:r w:rsidR="001778D1"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符合《中华人民共和国政府采购法》第二十二条的规定，国内注册（指按国家有关规定要求注册的）生产或经营本次采购货物的供应商。本项目不接受联合体报价。</w:t>
      </w:r>
    </w:p>
    <w:p w:rsidR="00A13C26" w:rsidRPr="008A4124" w:rsidRDefault="00A13C26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2.</w:t>
      </w:r>
      <w:r w:rsidRPr="00A13C26">
        <w:rPr>
          <w:rFonts w:ascii="微软雅黑" w:eastAsia="微软雅黑" w:hAnsi="微软雅黑" w:cs="宋体" w:hint="eastAsia"/>
          <w:color w:val="333333"/>
          <w:kern w:val="0"/>
          <w:sz w:val="24"/>
        </w:rPr>
        <w:t>经营范围涵盖安装、维修电器设备或空调设备及配件；在南宁市区域内有</w:t>
      </w:r>
      <w:proofErr w:type="gramStart"/>
      <w:r w:rsidRPr="00A13C26">
        <w:rPr>
          <w:rFonts w:ascii="微软雅黑" w:eastAsia="微软雅黑" w:hAnsi="微软雅黑" w:cs="宋体" w:hint="eastAsia"/>
          <w:color w:val="333333"/>
          <w:kern w:val="0"/>
          <w:sz w:val="24"/>
        </w:rPr>
        <w:t>固定维保</w:t>
      </w:r>
      <w:proofErr w:type="gramEnd"/>
      <w:r w:rsidRPr="00A13C26">
        <w:rPr>
          <w:rFonts w:ascii="微软雅黑" w:eastAsia="微软雅黑" w:hAnsi="微软雅黑" w:cs="宋体" w:hint="eastAsia"/>
          <w:color w:val="333333"/>
          <w:kern w:val="0"/>
          <w:sz w:val="24"/>
        </w:rPr>
        <w:t>机构(提供营业网点相关资料)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。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 </w:t>
      </w:r>
    </w:p>
    <w:p w:rsidR="001778D1" w:rsidRPr="008A4124" w:rsidRDefault="006842C5" w:rsidP="001778D1">
      <w:pPr>
        <w:widowControl/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五</w:t>
      </w:r>
      <w:r w:rsidR="001778D1" w:rsidRPr="008A412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、报价要求</w:t>
      </w:r>
    </w:p>
    <w:p w:rsidR="001778D1" w:rsidRPr="008A4124" w:rsidRDefault="001778D1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报价人须就附件中所有的货物和服务内容</w:t>
      </w:r>
      <w:proofErr w:type="gramStart"/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作唯一</w:t>
      </w:r>
      <w:proofErr w:type="gramEnd"/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完整报价，报价必须包括所有费用，包含采购、包装、运输、装卸、劳务、管理、利润、税金、保险、协调、售后服务费用、相关文件规定及合同包含的所有风险、责任等各项应有费用。</w:t>
      </w:r>
    </w:p>
    <w:p w:rsidR="001778D1" w:rsidRPr="008A4124" w:rsidRDefault="006842C5" w:rsidP="001778D1">
      <w:pPr>
        <w:widowControl/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六</w:t>
      </w:r>
      <w:r w:rsidR="001778D1" w:rsidRPr="008A412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、报价文件的组成和要求</w:t>
      </w:r>
    </w:p>
    <w:p w:rsidR="001778D1" w:rsidRPr="008A4124" w:rsidRDefault="001778D1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1.报价表，</w:t>
      </w:r>
      <w:r w:rsidR="00793368">
        <w:rPr>
          <w:rFonts w:ascii="微软雅黑" w:eastAsia="微软雅黑" w:hAnsi="微软雅黑" w:cs="宋体" w:hint="eastAsia"/>
          <w:color w:val="333333"/>
          <w:kern w:val="0"/>
          <w:sz w:val="24"/>
        </w:rPr>
        <w:t>按附件要求格式清单，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包括货物详细技术参数、单价、合价、</w:t>
      </w:r>
      <w:r w:rsidR="00793368">
        <w:rPr>
          <w:rFonts w:ascii="微软雅黑" w:eastAsia="微软雅黑" w:hAnsi="微软雅黑" w:cs="宋体" w:hint="eastAsia"/>
          <w:color w:val="333333"/>
          <w:kern w:val="0"/>
          <w:sz w:val="24"/>
        </w:rPr>
        <w:t>质保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期等内容；</w:t>
      </w:r>
    </w:p>
    <w:p w:rsidR="001778D1" w:rsidRPr="008A4124" w:rsidRDefault="001778D1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lastRenderedPageBreak/>
        <w:t>2.售后服务承诺书</w:t>
      </w:r>
      <w:r w:rsidR="00793368">
        <w:rPr>
          <w:rFonts w:ascii="微软雅黑" w:eastAsia="微软雅黑" w:hAnsi="微软雅黑" w:cs="宋体" w:hint="eastAsia"/>
          <w:color w:val="333333"/>
          <w:kern w:val="0"/>
          <w:sz w:val="24"/>
        </w:rPr>
        <w:t>，按附件要求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；</w:t>
      </w:r>
    </w:p>
    <w:p w:rsidR="001778D1" w:rsidRPr="008A4124" w:rsidRDefault="001778D1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3.报价人有效证件：营业执照副本复印件、税务登记证副本内页或三证合一的营业执照副本复印件、法定代表人（经营者）身份证复印件、法人（经营者）授权委托书原件和委托代理人身份证复印件（委托代理时必须提供），以上文件均须加盖报价人单位公章，否则报价文件无效；</w:t>
      </w:r>
    </w:p>
    <w:p w:rsidR="001778D1" w:rsidRPr="008A4124" w:rsidRDefault="001778D1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4.报价文件需密封并加盖单位公章，否则报价文件无效。（报价文件需正本一份）</w:t>
      </w:r>
    </w:p>
    <w:p w:rsidR="001778D1" w:rsidRPr="008A4124" w:rsidRDefault="006842C5" w:rsidP="001778D1">
      <w:pPr>
        <w:widowControl/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七</w:t>
      </w:r>
      <w:r w:rsidR="001778D1" w:rsidRPr="008A412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、报价文件递交截止时间和地点</w:t>
      </w:r>
    </w:p>
    <w:p w:rsidR="001778D1" w:rsidRPr="008A4124" w:rsidRDefault="001778D1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报价文件必须于201</w:t>
      </w:r>
      <w:r w:rsidR="006842C5">
        <w:rPr>
          <w:rFonts w:ascii="微软雅黑" w:eastAsia="微软雅黑" w:hAnsi="微软雅黑" w:cs="宋体" w:hint="eastAsia"/>
          <w:color w:val="333333"/>
          <w:kern w:val="0"/>
          <w:sz w:val="24"/>
        </w:rPr>
        <w:t>9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年</w:t>
      </w:r>
      <w:r w:rsidR="00495D27">
        <w:rPr>
          <w:rFonts w:ascii="微软雅黑" w:eastAsia="微软雅黑" w:hAnsi="微软雅黑" w:cs="宋体" w:hint="eastAsia"/>
          <w:color w:val="333333"/>
          <w:kern w:val="0"/>
          <w:sz w:val="24"/>
        </w:rPr>
        <w:t>7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月</w:t>
      </w:r>
      <w:r w:rsidR="009E26F2"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 </w:t>
      </w:r>
      <w:r w:rsidR="004D2A89">
        <w:rPr>
          <w:rFonts w:ascii="微软雅黑" w:eastAsia="微软雅黑" w:hAnsi="微软雅黑" w:cs="宋体" w:hint="eastAsia"/>
          <w:color w:val="333333"/>
          <w:kern w:val="0"/>
          <w:sz w:val="24"/>
        </w:rPr>
        <w:t>10</w:t>
      </w:r>
      <w:bookmarkStart w:id="0" w:name="_GoBack"/>
      <w:bookmarkEnd w:id="0"/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日上午</w:t>
      </w:r>
      <w:r w:rsidR="00495D27">
        <w:rPr>
          <w:rFonts w:ascii="微软雅黑" w:eastAsia="微软雅黑" w:hAnsi="微软雅黑" w:cs="宋体" w:hint="eastAsia"/>
          <w:color w:val="333333"/>
          <w:kern w:val="0"/>
          <w:sz w:val="24"/>
        </w:rPr>
        <w:t>12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时</w:t>
      </w:r>
      <w:r w:rsidR="006842C5">
        <w:rPr>
          <w:rFonts w:ascii="微软雅黑" w:eastAsia="微软雅黑" w:hAnsi="微软雅黑" w:cs="宋体" w:hint="eastAsia"/>
          <w:color w:val="333333"/>
          <w:kern w:val="0"/>
          <w:sz w:val="24"/>
        </w:rPr>
        <w:t>0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0分前以书面密封方式递交至</w:t>
      </w:r>
      <w:r w:rsidR="006842C5">
        <w:rPr>
          <w:rFonts w:ascii="微软雅黑" w:eastAsia="微软雅黑" w:hAnsi="微软雅黑" w:cs="宋体" w:hint="eastAsia"/>
          <w:color w:val="333333"/>
          <w:kern w:val="0"/>
          <w:sz w:val="24"/>
        </w:rPr>
        <w:t>广西中医药大学赛恩斯新医药学院教学实验楼7楼采购办公室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，逾期不受理。</w:t>
      </w:r>
    </w:p>
    <w:p w:rsidR="001778D1" w:rsidRPr="008A4124" w:rsidRDefault="006842C5" w:rsidP="001778D1">
      <w:pPr>
        <w:widowControl/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八</w:t>
      </w:r>
      <w:r w:rsidR="001778D1" w:rsidRPr="008A412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、</w:t>
      </w:r>
      <w:r w:rsidR="00C0522C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联系人</w:t>
      </w:r>
    </w:p>
    <w:p w:rsidR="001778D1" w:rsidRPr="008A4124" w:rsidRDefault="001778D1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联系人：</w:t>
      </w:r>
      <w:r w:rsidR="006842C5">
        <w:rPr>
          <w:rFonts w:ascii="微软雅黑" w:eastAsia="微软雅黑" w:hAnsi="微软雅黑" w:cs="宋体" w:hint="eastAsia"/>
          <w:color w:val="333333"/>
          <w:kern w:val="0"/>
          <w:sz w:val="24"/>
        </w:rPr>
        <w:t>曾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老师；</w:t>
      </w:r>
    </w:p>
    <w:p w:rsidR="001778D1" w:rsidRPr="008A4124" w:rsidRDefault="001778D1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联系电话：0771-</w:t>
      </w:r>
      <w:r w:rsidR="006842C5">
        <w:rPr>
          <w:rFonts w:ascii="微软雅黑" w:eastAsia="微软雅黑" w:hAnsi="微软雅黑" w:cs="宋体" w:hint="eastAsia"/>
          <w:color w:val="333333"/>
          <w:kern w:val="0"/>
          <w:sz w:val="24"/>
        </w:rPr>
        <w:t>4736299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。</w:t>
      </w:r>
    </w:p>
    <w:p w:rsidR="001778D1" w:rsidRPr="008A4124" w:rsidRDefault="00352FDF" w:rsidP="001778D1">
      <w:pPr>
        <w:widowControl/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九</w:t>
      </w:r>
      <w:r w:rsidR="001778D1" w:rsidRPr="008A412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、网上公告媒体查询</w:t>
      </w:r>
    </w:p>
    <w:p w:rsidR="001778D1" w:rsidRPr="008A4124" w:rsidRDefault="001778D1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广西</w:t>
      </w:r>
      <w:r w:rsidR="006842C5">
        <w:rPr>
          <w:rFonts w:ascii="微软雅黑" w:eastAsia="微软雅黑" w:hAnsi="微软雅黑" w:cs="宋体" w:hint="eastAsia"/>
          <w:color w:val="333333"/>
          <w:kern w:val="0"/>
          <w:sz w:val="24"/>
        </w:rPr>
        <w:t>中医药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大学</w:t>
      </w:r>
      <w:r w:rsidR="006842C5">
        <w:rPr>
          <w:rFonts w:ascii="微软雅黑" w:eastAsia="微软雅黑" w:hAnsi="微软雅黑" w:cs="宋体" w:hint="eastAsia"/>
          <w:color w:val="333333"/>
          <w:kern w:val="0"/>
          <w:sz w:val="24"/>
        </w:rPr>
        <w:t>赛恩斯新医药学院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校园网（</w:t>
      </w:r>
      <w:r w:rsidR="006842C5" w:rsidRPr="006842C5">
        <w:rPr>
          <w:rFonts w:ascii="微软雅黑" w:eastAsia="微软雅黑" w:hAnsi="微软雅黑" w:cs="宋体"/>
          <w:color w:val="333333"/>
          <w:kern w:val="0"/>
          <w:sz w:val="24"/>
        </w:rPr>
        <w:t>http://www.gxzyxysy.com/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）。</w:t>
      </w:r>
    </w:p>
    <w:p w:rsidR="009E26F2" w:rsidRDefault="009E26F2">
      <w:pPr>
        <w:widowControl/>
        <w:jc w:val="left"/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7"/>
        <w:gridCol w:w="2909"/>
        <w:gridCol w:w="83"/>
        <w:gridCol w:w="861"/>
        <w:gridCol w:w="1098"/>
        <w:gridCol w:w="804"/>
        <w:gridCol w:w="1098"/>
        <w:gridCol w:w="1098"/>
        <w:gridCol w:w="1106"/>
      </w:tblGrid>
      <w:tr w:rsidR="009E26F2" w:rsidRPr="009E26F2" w:rsidTr="009E26F2">
        <w:trPr>
          <w:trHeight w:val="85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01C" w:rsidRDefault="00BF401C" w:rsidP="00BF401C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附件：</w:t>
            </w:r>
          </w:p>
          <w:p w:rsidR="009E26F2" w:rsidRPr="008C6E3B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E26F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广西中医药大学赛恩斯新医药学院</w:t>
            </w:r>
          </w:p>
          <w:p w:rsidR="009E26F2" w:rsidRPr="009E26F2" w:rsidRDefault="003050E5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3050E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空调维修保养</w:t>
            </w:r>
            <w:r w:rsidR="009E26F2" w:rsidRPr="009E26F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报价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单</w:t>
            </w:r>
          </w:p>
        </w:tc>
      </w:tr>
      <w:tr w:rsidR="009E26F2" w:rsidRPr="009E26F2" w:rsidTr="009E26F2">
        <w:trPr>
          <w:trHeight w:val="85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F2" w:rsidRPr="009E26F2" w:rsidRDefault="009E26F2" w:rsidP="000E312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（一）外机部分</w:t>
            </w:r>
            <w:r w:rsidR="000E312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:更换零配件</w:t>
            </w: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维修品类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壁挂机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柜机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风管机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天井机</w:t>
            </w:r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BF401C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压 缩 机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压缩机电容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外机风扇电机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外机风扇扇叶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外机风扇电容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冷凝器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外机截止阀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外机接线端子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四通阀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铁架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外机排水管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3A16E4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859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859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8C6E3B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  <w:p w:rsidR="008C6E3B" w:rsidRDefault="008C6E3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  <w:p w:rsidR="008C6E3B" w:rsidRDefault="008C6E3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  <w:p w:rsidR="008C6E3B" w:rsidRDefault="008C6E3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  <w:p w:rsidR="008C6E3B" w:rsidRDefault="008C6E3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  <w:p w:rsidR="008C6E3B" w:rsidRDefault="008C6E3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  <w:p w:rsidR="008C6E3B" w:rsidRDefault="008C6E3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  <w:p w:rsidR="008C6E3B" w:rsidRDefault="008C6E3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  <w:p w:rsidR="008C6E3B" w:rsidRPr="009E26F2" w:rsidRDefault="008C6E3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9E26F2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26F2" w:rsidRPr="009E26F2" w:rsidTr="009E26F2">
        <w:trPr>
          <w:trHeight w:val="85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E5" w:rsidRPr="008C6E3B" w:rsidRDefault="003050E5" w:rsidP="00305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E26F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广西中医药大学赛恩斯新医药学院</w:t>
            </w:r>
          </w:p>
          <w:p w:rsidR="009E26F2" w:rsidRPr="009E26F2" w:rsidRDefault="003050E5" w:rsidP="00305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3050E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空调维修保养</w:t>
            </w:r>
            <w:r w:rsidRPr="009E26F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报价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单</w:t>
            </w:r>
          </w:p>
        </w:tc>
      </w:tr>
      <w:tr w:rsidR="009E26F2" w:rsidRPr="009E26F2" w:rsidTr="009E26F2">
        <w:trPr>
          <w:trHeight w:val="85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（二）内机部分</w:t>
            </w:r>
            <w:r w:rsidR="000E312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：</w:t>
            </w:r>
            <w:r w:rsidR="000E3128" w:rsidRPr="000E312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更换零配件</w:t>
            </w: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维修品类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壁挂机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柜机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风管机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天井机</w:t>
            </w:r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BF401C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遥控器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显示板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6F2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电脑控制板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6F2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内机风扇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导流电机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内机风扇电机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内机风扇扇叶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内机风扇电容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蒸发器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空气开关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插座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内机接线端子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膨胀阀（毛细管）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过滤器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内外机</w:t>
            </w:r>
            <w:proofErr w:type="gramEnd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连接线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元/米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内机排水管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元/米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接收头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老鼠咬线</w:t>
            </w:r>
            <w:proofErr w:type="gramEnd"/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20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E22FF" w:rsidRPr="009E26F2" w:rsidTr="003050E5">
        <w:trPr>
          <w:trHeight w:hRule="exact" w:val="20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2FF" w:rsidRPr="009E26F2" w:rsidRDefault="001E22FF" w:rsidP="008C6E3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E22FF" w:rsidRPr="009E26F2" w:rsidTr="009E26F2">
        <w:trPr>
          <w:trHeight w:val="85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E5" w:rsidRPr="008C6E3B" w:rsidRDefault="003050E5" w:rsidP="00305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E26F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广西中医药大学赛恩斯新医药学院</w:t>
            </w:r>
          </w:p>
          <w:p w:rsidR="003050E5" w:rsidRDefault="003050E5" w:rsidP="00305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050E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空调维修保养</w:t>
            </w:r>
            <w:r w:rsidRPr="009E26F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报价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单</w:t>
            </w:r>
          </w:p>
          <w:p w:rsidR="003050E5" w:rsidRDefault="003050E5" w:rsidP="00305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E22FF" w:rsidRPr="009E26F2" w:rsidRDefault="001E22FF" w:rsidP="00305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（三）</w:t>
            </w:r>
            <w:r w:rsidRPr="009E26F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整机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报价</w:t>
            </w:r>
          </w:p>
        </w:tc>
      </w:tr>
      <w:tr w:rsidR="001E22FF" w:rsidRPr="009E26F2" w:rsidTr="009E26F2">
        <w:trPr>
          <w:trHeight w:val="85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A878D6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整机费用</w:t>
            </w: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维修品类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壁挂机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柜机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风管机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天井机</w:t>
            </w:r>
            <w:proofErr w:type="gram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单拆整机</w:t>
            </w:r>
            <w:proofErr w:type="gram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单装整机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拆装整机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更换铜管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元/米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加雪种</w:t>
            </w:r>
            <w:r w:rsidR="00AF5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（普通）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AF596B" w:rsidP="00AF59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F5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加雪种（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环保</w:t>
            </w:r>
            <w:r w:rsidRPr="00AF5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F596B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深度清洁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F596B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简易清洁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F596B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高空费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F596B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调整更换导风、扫</w:t>
            </w: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风机构</w:t>
            </w:r>
            <w:proofErr w:type="gram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F596B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调整风叶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F596B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调整管路、零部件摩擦噪声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F596B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调整排水管漏、堵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F596B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调整紧固件松动、接线松等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F596B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更换感温包、管温包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F596B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F596B" w:rsidRPr="009E26F2" w:rsidTr="003050E5">
        <w:trPr>
          <w:trHeight w:val="20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8C6E3B" w:rsidRDefault="008C6E3B">
      <w:pPr>
        <w:rPr>
          <w:rFonts w:asciiTheme="minorEastAsia" w:eastAsiaTheme="minorEastAsia" w:hAnsiTheme="minorEastAsia"/>
          <w:sz w:val="24"/>
        </w:rPr>
      </w:pPr>
    </w:p>
    <w:p w:rsidR="003050E5" w:rsidRDefault="003050E5">
      <w:pPr>
        <w:rPr>
          <w:rFonts w:asciiTheme="minorEastAsia" w:eastAsiaTheme="minorEastAsia" w:hAnsiTheme="minorEastAsia"/>
          <w:sz w:val="24"/>
        </w:rPr>
      </w:pPr>
    </w:p>
    <w:p w:rsidR="00F73289" w:rsidRDefault="00F73289" w:rsidP="008C6E3B">
      <w:pPr>
        <w:widowControl/>
        <w:jc w:val="center"/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</w:p>
    <w:p w:rsidR="008C6E3B" w:rsidRDefault="008C6E3B" w:rsidP="008C6E3B">
      <w:pPr>
        <w:widowControl/>
        <w:jc w:val="center"/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9E26F2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lastRenderedPageBreak/>
        <w:t>广西中医药大学赛恩斯新医药学院分体机维保报价</w:t>
      </w:r>
    </w:p>
    <w:p w:rsidR="008C6E3B" w:rsidRDefault="008C6E3B" w:rsidP="006F09D2">
      <w:pPr>
        <w:jc w:val="center"/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（四）总计</w:t>
      </w:r>
      <w:r w:rsidRPr="009E26F2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费用</w:t>
      </w:r>
    </w:p>
    <w:p w:rsidR="008C6E3B" w:rsidRDefault="008C6E3B" w:rsidP="008C6E3B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2881"/>
        <w:gridCol w:w="1082"/>
        <w:gridCol w:w="1082"/>
        <w:gridCol w:w="804"/>
        <w:gridCol w:w="1082"/>
        <w:gridCol w:w="1082"/>
        <w:gridCol w:w="1037"/>
      </w:tblGrid>
      <w:tr w:rsidR="006F09D2" w:rsidRPr="009E26F2" w:rsidTr="00723511">
        <w:trPr>
          <w:trHeight w:val="56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维修品类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壁挂机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柜机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风管机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天井机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6F09D2" w:rsidRPr="009E26F2" w:rsidTr="00723511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6E3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（一）外机部分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合计价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6F09D2" w:rsidRPr="009E26F2" w:rsidTr="00723511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6E3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（二）内机部分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合计价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6F09D2" w:rsidRPr="009E26F2" w:rsidTr="00723511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6E3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（三）整机报价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合计价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6F09D2" w:rsidRPr="009E26F2" w:rsidTr="00723511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6E3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总计价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878D6" w:rsidRPr="009E26F2" w:rsidTr="00A878D6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8D6" w:rsidRPr="009E26F2" w:rsidRDefault="00A878D6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D6" w:rsidRPr="00A878D6" w:rsidRDefault="00A878D6" w:rsidP="00A878D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878D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壁挂机总计价*85%+柜机总计价*5%+</w:t>
            </w:r>
          </w:p>
          <w:p w:rsidR="00A878D6" w:rsidRPr="009E26F2" w:rsidRDefault="00A878D6" w:rsidP="00A878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878D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风管机*5%+</w:t>
            </w:r>
            <w:proofErr w:type="gramStart"/>
            <w:r w:rsidRPr="00A878D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天井机</w:t>
            </w:r>
            <w:proofErr w:type="gramEnd"/>
            <w:r w:rsidRPr="00A878D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总计价*5%=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8D6" w:rsidRPr="008C6E3B" w:rsidRDefault="00A878D6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评标价</w:t>
            </w:r>
          </w:p>
        </w:tc>
        <w:tc>
          <w:tcPr>
            <w:tcW w:w="25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8D6" w:rsidRPr="009E26F2" w:rsidRDefault="00A878D6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442E0" w:rsidRPr="009E26F2" w:rsidTr="00A442E0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E0" w:rsidRPr="009E26F2" w:rsidRDefault="00A442E0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E0" w:rsidRPr="009E26F2" w:rsidRDefault="00A442E0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442E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3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E0" w:rsidRPr="009E26F2" w:rsidRDefault="00A442E0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442E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最低评标价法</w:t>
            </w:r>
          </w:p>
        </w:tc>
      </w:tr>
    </w:tbl>
    <w:p w:rsidR="00723511" w:rsidRPr="00723511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服务要求：</w:t>
      </w:r>
    </w:p>
    <w:p w:rsidR="00723511" w:rsidRPr="00723511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1.除上述常规产品外，中标供应商还应提供与其相关的其他服务，包括在采购单位确定需求时免费提供技术咨询、将成品运输到指定地点等；</w:t>
      </w:r>
    </w:p>
    <w:p w:rsidR="00723511" w:rsidRPr="00723511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2.费用包含运输费以及税费等，所提供的货物质量不符合要求时，包退货、换货；</w:t>
      </w:r>
    </w:p>
    <w:p w:rsidR="00723511" w:rsidRPr="00723511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3.所有货物及服务只有当其采用的标准和规范是国家公认的、惯用的，且等于或优于本技术要求时才能为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采购</w:t>
      </w: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人所接受。质量保证期：质量保证期免费维修，免费更换配件；</w:t>
      </w:r>
    </w:p>
    <w:p w:rsidR="00723511" w:rsidRPr="00723511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4.需要安装的产品，定点供应商须派有经验的技术人员，自备安装工具到现场进行安装，投标人自行负责施工安全，直到货物正常使用，其费用由定点供应商负担。产品安装完毕后，由采购单位即时验收，并应具备产品合格证时，采购单位才向定点供应商签验收合格单；</w:t>
      </w:r>
    </w:p>
    <w:p w:rsidR="008941CD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5.售后服务时间自最终验收合格并交付使用之日起计算，响应时间：</w:t>
      </w:r>
      <w:r w:rsidR="003A16E4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4</w:t>
      </w: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小时内响应，</w:t>
      </w:r>
      <w:r w:rsidR="003A16E4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24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小时内解决</w:t>
      </w: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。</w:t>
      </w:r>
    </w:p>
    <w:p w:rsidR="00723511" w:rsidRPr="00723511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6</w:t>
      </w: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、采购人若需采购常规需求表中未列出的货物时，由采购人在定点供应商中询价采购，中标的定点供应商有配合采购人询价的义务。</w:t>
      </w:r>
    </w:p>
    <w:p w:rsidR="00723511" w:rsidRPr="00723511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7</w:t>
      </w: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、以上全部维修需求，在采购期限内所有品种单价不能改变。配件要求为“原厂配件”，且质保期不低于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半</w:t>
      </w: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年。</w:t>
      </w:r>
    </w:p>
    <w:p w:rsidR="00723511" w:rsidRPr="00723511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8</w:t>
      </w: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、如因安装原因造成空调故障，维修服务商应免费维修。</w:t>
      </w:r>
    </w:p>
    <w:p w:rsidR="00723511" w:rsidRPr="00723511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9</w:t>
      </w: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、安装、维修后供应商必须对空调进行免费调试、运行。</w:t>
      </w:r>
    </w:p>
    <w:p w:rsidR="00723511" w:rsidRPr="00723511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10</w:t>
      </w: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、空调的安装位置应与用户协商后确定，且能确保空调制冷正常、安全、牢固，不影响他人的工作和生活。</w:t>
      </w:r>
    </w:p>
    <w:p w:rsidR="008C6E3B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注：投标人应在售后服务中或工作方案中对以上条款进行承诺，可根据自己情况优于以上服务要求。</w:t>
      </w:r>
    </w:p>
    <w:p w:rsidR="00723511" w:rsidRPr="00723511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11</w:t>
      </w: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.付款方式</w:t>
      </w:r>
    </w:p>
    <w:p w:rsidR="00723511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合同签署后，中标人按采购方要求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提供服务</w:t>
      </w: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,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服务</w:t>
      </w: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验收完毕，采购方自收到发票起二十个工作日内支付货款给中标方。</w:t>
      </w:r>
    </w:p>
    <w:sectPr w:rsidR="00723511" w:rsidSect="0056548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0F" w:rsidRDefault="00727A0F" w:rsidP="001778D1">
      <w:r>
        <w:separator/>
      </w:r>
    </w:p>
  </w:endnote>
  <w:endnote w:type="continuationSeparator" w:id="0">
    <w:p w:rsidR="00727A0F" w:rsidRDefault="00727A0F" w:rsidP="0017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0F" w:rsidRDefault="00727A0F" w:rsidP="001778D1">
      <w:r>
        <w:separator/>
      </w:r>
    </w:p>
  </w:footnote>
  <w:footnote w:type="continuationSeparator" w:id="0">
    <w:p w:rsidR="00727A0F" w:rsidRDefault="00727A0F" w:rsidP="00177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4F"/>
    <w:rsid w:val="00085681"/>
    <w:rsid w:val="000935DD"/>
    <w:rsid w:val="000E3128"/>
    <w:rsid w:val="00153445"/>
    <w:rsid w:val="001778D1"/>
    <w:rsid w:val="001E22FF"/>
    <w:rsid w:val="002E6F9B"/>
    <w:rsid w:val="003050E5"/>
    <w:rsid w:val="00352FDF"/>
    <w:rsid w:val="003A16E4"/>
    <w:rsid w:val="003D3C0F"/>
    <w:rsid w:val="00430CE5"/>
    <w:rsid w:val="00485277"/>
    <w:rsid w:val="00495D27"/>
    <w:rsid w:val="004D2A89"/>
    <w:rsid w:val="004F41A2"/>
    <w:rsid w:val="00565486"/>
    <w:rsid w:val="00610B79"/>
    <w:rsid w:val="006842C5"/>
    <w:rsid w:val="006D65F5"/>
    <w:rsid w:val="006F09D2"/>
    <w:rsid w:val="00723511"/>
    <w:rsid w:val="00727A0F"/>
    <w:rsid w:val="007564FE"/>
    <w:rsid w:val="00793368"/>
    <w:rsid w:val="008941CD"/>
    <w:rsid w:val="008C6E3B"/>
    <w:rsid w:val="008D2BC5"/>
    <w:rsid w:val="00951C27"/>
    <w:rsid w:val="0095664F"/>
    <w:rsid w:val="009577CC"/>
    <w:rsid w:val="009C0545"/>
    <w:rsid w:val="009E26F2"/>
    <w:rsid w:val="00A13C26"/>
    <w:rsid w:val="00A442E0"/>
    <w:rsid w:val="00A8295E"/>
    <w:rsid w:val="00A878D6"/>
    <w:rsid w:val="00AC1A2A"/>
    <w:rsid w:val="00AE6A0E"/>
    <w:rsid w:val="00AF596B"/>
    <w:rsid w:val="00B23B12"/>
    <w:rsid w:val="00BF401C"/>
    <w:rsid w:val="00C0522C"/>
    <w:rsid w:val="00C52208"/>
    <w:rsid w:val="00E95BA3"/>
    <w:rsid w:val="00F7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8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8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8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8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8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8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6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14502</TotalTime>
  <Pages>6</Pages>
  <Words>410</Words>
  <Characters>2338</Characters>
  <Application>Microsoft Office Word</Application>
  <DocSecurity>0</DocSecurity>
  <Lines>19</Lines>
  <Paragraphs>5</Paragraphs>
  <ScaleCrop>false</ScaleCrop>
  <Company>china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2019-06-01T00:44:00Z</dcterms:created>
  <dcterms:modified xsi:type="dcterms:W3CDTF">2019-07-05T01:34:00Z</dcterms:modified>
</cp:coreProperties>
</file>